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>
          <w:sz w:val="32"/>
          <w:szCs w:val="32"/>
        </w:rPr>
        <w:t>Csoport neve: SpaceDev</w:t>
      </w:r>
    </w:p>
    <w:p>
      <w:pPr>
        <w:pStyle w:val="Normal"/>
        <w:rPr/>
      </w:pPr>
      <w:r>
        <w:rPr>
          <w:sz w:val="32"/>
          <w:szCs w:val="32"/>
        </w:rPr>
        <w:t>Projekt neve: Crystal Zikawata</w:t>
      </w:r>
    </w:p>
    <w:p>
      <w:pPr>
        <w:pStyle w:val="Normal"/>
        <w:rPr/>
      </w:pPr>
      <w:r>
        <w:rPr>
          <w:sz w:val="32"/>
          <w:szCs w:val="32"/>
        </w:rPr>
        <w:t>Gyakorlatvezető: Dr. Barabás Péter</w:t>
      </w:r>
    </w:p>
    <w:p>
      <w:pPr>
        <w:pStyle w:val="Normal"/>
        <w:spacing w:before="1134" w:after="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/>
      </w:pPr>
      <w:r>
        <w:rPr>
          <w:sz w:val="48"/>
          <w:szCs w:val="48"/>
        </w:rPr>
        <w:t>Rendszertervezés</w:t>
      </w:r>
    </w:p>
    <w:p>
      <w:pPr>
        <w:pStyle w:val="Normal"/>
        <w:spacing w:before="1701" w:after="0"/>
        <w:jc w:val="left"/>
        <w:rPr/>
      </w:pPr>
      <w:r>
        <w:rPr>
          <w:sz w:val="32"/>
          <w:szCs w:val="32"/>
        </w:rPr>
        <w:t>Csoporttagok:</w:t>
      </w:r>
    </w:p>
    <w:p>
      <w:pPr>
        <w:pStyle w:val="Normal"/>
        <w:spacing w:before="283" w:after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tbl>
      <w:tblPr>
        <w:tblW w:w="7710" w:type="dxa"/>
        <w:jc w:val="center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insideH w:val="single" w:sz="8" w:space="0" w:color="000001"/>
        </w:tblBorders>
        <w:tblCellMar>
          <w:top w:w="55" w:type="dxa"/>
          <w:left w:w="-10" w:type="dxa"/>
          <w:bottom w:w="55" w:type="dxa"/>
          <w:right w:w="55" w:type="dxa"/>
        </w:tblCellMar>
      </w:tblPr>
      <w:tblGrid>
        <w:gridCol w:w="5834"/>
        <w:gridCol w:w="1875"/>
      </w:tblGrid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Grecmájer Máté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KZIGX3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Musatics Gilbert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JW28VF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Szeszák Ádám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AZCTJJ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Teket Dávid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H2543D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Tóth Előd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FOOJPQ </w:t>
            </w:r>
          </w:p>
        </w:tc>
      </w:tr>
    </w:tbl>
    <w:p>
      <w:pPr>
        <w:pStyle w:val="Normal"/>
        <w:spacing w:before="0" w:after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tbl>
      <w:tblPr>
        <w:tblW w:w="9645" w:type="dxa"/>
        <w:jc w:val="left"/>
        <w:tblInd w:w="-93" w:type="dxa"/>
        <w:tblBorders>
          <w:top w:val="single" w:sz="12" w:space="0" w:color="000001"/>
          <w:left w:val="single" w:sz="12" w:space="0" w:color="000001"/>
          <w:bottom w:val="double" w:sz="6" w:space="0" w:color="000001"/>
          <w:insideH w:val="double" w:sz="6" w:space="0" w:color="000001"/>
        </w:tblBorders>
        <w:tblCellMar>
          <w:top w:w="55" w:type="dxa"/>
          <w:left w:w="-15" w:type="dxa"/>
          <w:bottom w:w="55" w:type="dxa"/>
          <w:right w:w="55" w:type="dxa"/>
        </w:tblCellMar>
      </w:tblPr>
      <w:tblGrid>
        <w:gridCol w:w="2200"/>
        <w:gridCol w:w="1596"/>
        <w:gridCol w:w="3060"/>
        <w:gridCol w:w="2788"/>
      </w:tblGrid>
      <w:tr>
        <w:trPr/>
        <w:tc>
          <w:tcPr>
            <w:tcW w:w="2200" w:type="dxa"/>
            <w:tcBorders>
              <w:top w:val="single" w:sz="12" w:space="0" w:color="000001"/>
              <w:left w:val="single" w:sz="12" w:space="0" w:color="000001"/>
              <w:bottom w:val="double" w:sz="6" w:space="0" w:color="000001"/>
              <w:insideH w:val="double" w:sz="6" w:space="0" w:color="000001"/>
            </w:tcBorders>
            <w:shd w:fill="auto" w:val="clear"/>
            <w:tcMar>
              <w:left w:w="-15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Dátum</w:t>
            </w:r>
          </w:p>
        </w:tc>
        <w:tc>
          <w:tcPr>
            <w:tcW w:w="1596" w:type="dxa"/>
            <w:tcBorders>
              <w:top w:val="single" w:sz="12" w:space="0" w:color="000001"/>
              <w:left w:val="double" w:sz="6" w:space="0" w:color="000001"/>
              <w:bottom w:val="double" w:sz="6" w:space="0" w:color="000001"/>
              <w:insideH w:val="double" w:sz="6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Verzió</w:t>
            </w:r>
          </w:p>
        </w:tc>
        <w:tc>
          <w:tcPr>
            <w:tcW w:w="3060" w:type="dxa"/>
            <w:tcBorders>
              <w:top w:val="single" w:sz="12" w:space="0" w:color="000001"/>
              <w:left w:val="double" w:sz="6" w:space="0" w:color="000001"/>
              <w:bottom w:val="double" w:sz="6" w:space="0" w:color="000001"/>
              <w:insideH w:val="double" w:sz="6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Leírás</w:t>
            </w:r>
          </w:p>
        </w:tc>
        <w:tc>
          <w:tcPr>
            <w:tcW w:w="2788" w:type="dxa"/>
            <w:tcBorders>
              <w:top w:val="single" w:sz="12" w:space="0" w:color="000001"/>
              <w:left w:val="double" w:sz="6" w:space="0" w:color="000001"/>
              <w:bottom w:val="double" w:sz="6" w:space="0" w:color="000001"/>
              <w:right w:val="single" w:sz="12" w:space="0" w:color="000001"/>
              <w:insideH w:val="double" w:sz="6" w:space="0" w:color="000001"/>
              <w:insideV w:val="single" w:sz="1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Szerző</w:t>
            </w:r>
          </w:p>
        </w:tc>
      </w:tr>
      <w:tr>
        <w:trPr>
          <w:trHeight w:val="1022" w:hRule="atLeast"/>
        </w:trPr>
        <w:tc>
          <w:tcPr>
            <w:tcW w:w="2200" w:type="dxa"/>
            <w:tcBorders>
              <w:top w:val="single" w:sz="2" w:space="0" w:color="000001"/>
              <w:left w:val="single" w:sz="1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15" w:type="dxa"/>
            </w:tcMar>
          </w:tcPr>
          <w:p>
            <w:pPr>
              <w:pStyle w:val="Tblzattartalom"/>
              <w:jc w:val="left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2016.11.07.</w:t>
            </w:r>
          </w:p>
        </w:tc>
        <w:tc>
          <w:tcPr>
            <w:tcW w:w="1596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0.1</w:t>
            </w:r>
          </w:p>
        </w:tc>
        <w:tc>
          <w:tcPr>
            <w:tcW w:w="3060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Rendszertervezés dokumentum létrejött 2 pontban</w:t>
            </w:r>
          </w:p>
        </w:tc>
        <w:tc>
          <w:tcPr>
            <w:tcW w:w="2788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right w:val="single" w:sz="12" w:space="0" w:color="000001"/>
              <w:insideH w:val="single" w:sz="2" w:space="0" w:color="000001"/>
              <w:insideV w:val="single" w:sz="1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Normal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Musatics Gilbert</w:t>
            </w:r>
          </w:p>
        </w:tc>
      </w:tr>
      <w:tr>
        <w:trPr>
          <w:trHeight w:val="1022" w:hRule="atLeast"/>
        </w:trPr>
        <w:tc>
          <w:tcPr>
            <w:tcW w:w="2200" w:type="dxa"/>
            <w:tcBorders>
              <w:top w:val="single" w:sz="2" w:space="0" w:color="000001"/>
              <w:left w:val="single" w:sz="1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15" w:type="dxa"/>
            </w:tcMar>
          </w:tcPr>
          <w:p>
            <w:pPr>
              <w:pStyle w:val="Tblzattartalom"/>
              <w:jc w:val="left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2016.11.15.</w:t>
            </w:r>
          </w:p>
        </w:tc>
        <w:tc>
          <w:tcPr>
            <w:tcW w:w="1596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1.0</w:t>
            </w:r>
          </w:p>
        </w:tc>
        <w:tc>
          <w:tcPr>
            <w:tcW w:w="3060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Rendszertervezés dokumentum elkészült</w:t>
            </w:r>
          </w:p>
        </w:tc>
        <w:tc>
          <w:tcPr>
            <w:tcW w:w="2788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right w:val="single" w:sz="12" w:space="0" w:color="000001"/>
              <w:insideH w:val="single" w:sz="2" w:space="0" w:color="000001"/>
              <w:insideV w:val="single" w:sz="1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Normal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Musatics Gilbert</w:t>
            </w:r>
          </w:p>
        </w:tc>
      </w:tr>
      <w:tr>
        <w:trPr>
          <w:trHeight w:val="1022" w:hRule="atLeast"/>
        </w:trPr>
        <w:tc>
          <w:tcPr>
            <w:tcW w:w="2200" w:type="dxa"/>
            <w:tcBorders>
              <w:top w:val="single" w:sz="2" w:space="0" w:color="000001"/>
              <w:left w:val="single" w:sz="1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15" w:type="dxa"/>
            </w:tcMar>
          </w:tcPr>
          <w:p>
            <w:pPr>
              <w:pStyle w:val="Tblzattartalom"/>
              <w:jc w:val="left"/>
              <w:rPr>
                <w:rFonts w:ascii="Times New Roman" w:hAnsi="Times New Roman"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2016.11.16.</w:t>
            </w:r>
          </w:p>
        </w:tc>
        <w:tc>
          <w:tcPr>
            <w:tcW w:w="1596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>
                <w:rFonts w:ascii="Times New Roman" w:hAnsi="Times New Roman"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1.1</w:t>
            </w:r>
          </w:p>
        </w:tc>
        <w:tc>
          <w:tcPr>
            <w:tcW w:w="3060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>
                <w:rFonts w:ascii="Times New Roman" w:hAnsi="Times New Roman"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ER-modell változtatva</w:t>
            </w:r>
          </w:p>
        </w:tc>
        <w:tc>
          <w:tcPr>
            <w:tcW w:w="2788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right w:val="single" w:sz="12" w:space="0" w:color="000001"/>
              <w:insideH w:val="single" w:sz="2" w:space="0" w:color="000001"/>
              <w:insideV w:val="single" w:sz="1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Normal"/>
              <w:rPr>
                <w:rFonts w:ascii="Times New Roman" w:hAnsi="Times New Roman"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Musatics Gilbert</w:t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  <w:bCs/>
          <w:sz w:val="52"/>
          <w:szCs w:val="52"/>
        </w:rPr>
      </w:pPr>
      <w:r>
        <w:rPr>
          <w:b/>
          <w:bCs/>
          <w:sz w:val="52"/>
          <w:szCs w:val="52"/>
          <w:u w:val="single"/>
        </w:rPr>
        <w:t>I. Bevezetés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</w:rPr>
      </w:pPr>
      <w:r>
        <w:rPr>
          <w:b w:val="false"/>
          <w:bCs w:val="false"/>
          <w:sz w:val="32"/>
          <w:szCs w:val="32"/>
          <w:u w:val="none"/>
        </w:rPr>
        <w:t>Ebben a dokumentumban a menürendszer, a játékbeli képernyők, valamint a játék által használt adatbázisok kerülnek részletezésre.</w:t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</w:rPr>
      </w:pPr>
      <w:r>
        <w:rPr>
          <w:b w:val="false"/>
          <w:bCs w:val="false"/>
          <w:sz w:val="32"/>
          <w:szCs w:val="32"/>
          <w:u w:val="none"/>
        </w:rPr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</w:rPr>
      </w:pPr>
      <w:r>
        <w:rPr>
          <w:b w:val="false"/>
          <w:bCs w:val="false"/>
          <w:sz w:val="32"/>
          <w:szCs w:val="32"/>
          <w:u w:val="none"/>
        </w:rPr>
      </w:r>
    </w:p>
    <w:p>
      <w:pPr>
        <w:pStyle w:val="Normal"/>
        <w:rPr>
          <w:b/>
          <w:b/>
          <w:bCs/>
          <w:sz w:val="52"/>
          <w:szCs w:val="52"/>
          <w:u w:val="single"/>
          <w:lang w:val="zxx" w:eastAsia="zxx" w:bidi="zxx"/>
        </w:rPr>
      </w:pPr>
      <w:r>
        <w:rPr>
          <w:b/>
          <w:bCs/>
          <w:sz w:val="52"/>
          <w:szCs w:val="52"/>
          <w:u w:val="single"/>
          <w:lang w:val="zxx" w:eastAsia="zxx" w:bidi="zxx"/>
        </w:rPr>
        <w:t>II. Felhasználói felület</w:t>
      </w:r>
    </w:p>
    <w:p>
      <w:pPr>
        <w:pStyle w:val="Normal"/>
        <w:rPr>
          <w:b/>
          <w:b/>
          <w:bCs/>
          <w:sz w:val="52"/>
          <w:szCs w:val="52"/>
          <w:u w:val="single"/>
          <w:lang w:val="zxx" w:eastAsia="zxx" w:bidi="zxx"/>
        </w:rPr>
      </w:pPr>
      <w:r>
        <w:rPr>
          <w:b/>
          <w:bCs/>
          <w:sz w:val="52"/>
          <w:szCs w:val="52"/>
          <w:u w:val="single"/>
          <w:lang w:val="zxx" w:eastAsia="zxx" w:bidi="zxx"/>
        </w:rPr>
      </w:r>
    </w:p>
    <w:p>
      <w:pPr>
        <w:pStyle w:val="Normal"/>
        <w:rPr/>
      </w:pPr>
      <w:r>
        <w:rPr>
          <w:b/>
          <w:bCs/>
          <w:sz w:val="40"/>
          <w:szCs w:val="40"/>
          <w:u w:val="single"/>
          <w:lang w:val="zxx" w:eastAsia="zxx" w:bidi="zxx"/>
        </w:rPr>
        <w:t>II.1.Kezdőoldal</w:t>
      </w:r>
    </w:p>
    <w:p>
      <w:pPr>
        <w:pStyle w:val="Normal"/>
        <w:rPr>
          <w:b/>
          <w:b/>
          <w:bCs/>
          <w:sz w:val="40"/>
          <w:szCs w:val="40"/>
          <w:u w:val="single"/>
          <w:lang w:val="zxx" w:eastAsia="zxx" w:bidi="zxx"/>
        </w:rPr>
      </w:pPr>
      <w:r>
        <w:rPr>
          <w:b/>
          <w:bCs/>
          <w:sz w:val="40"/>
          <w:szCs w:val="40"/>
          <w:u w:val="singl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Kép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1</w:t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 a képernyő jelenik meg, miután a felhasználó elindítja a programot.</w:t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Ezen a képernyőn a következő lehetőségei vannak: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 New Game menüpont új játék indítására szolgál, innen a felhasználó az űrhajókonfiguráláshoz kerül.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 Continue menüpont a legutoljára elmentett játékállást tölti be.</w:t>
      </w:r>
    </w:p>
    <w:p>
      <w:pPr>
        <w:pStyle w:val="Normal"/>
        <w:numPr>
          <w:ilvl w:val="0"/>
          <w:numId w:val="1"/>
        </w:numPr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 Load Game menüpont az összes elmentett állást jeleníti meg, amiből a felhasználó kiválaszthatja a neki megfelelő játékállást.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Az Achievements menüpont betölti az elért eredményeket tartalmazó ablakot(lásd a 2. ábrát)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Az Options menüpont az Opciók ablakot nyitja meg (lásd a II.II. Menüpontot)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 Quit menüponttal felugrik egy ablak, ami egy megerősítő kérdést tesz fel, megerősítés esetén a program terminál.</w:t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Kép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2</w:t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/>
      </w:pPr>
      <w:r>
        <w:rPr>
          <w:b/>
          <w:bCs/>
          <w:sz w:val="40"/>
          <w:szCs w:val="40"/>
          <w:u w:val="single"/>
          <w:lang w:val="zxx" w:eastAsia="zxx" w:bidi="zxx"/>
        </w:rPr>
        <w:t>II.2.Opciók</w:t>
      </w:r>
    </w:p>
    <w:p>
      <w:pPr>
        <w:pStyle w:val="Normal"/>
        <w:jc w:val="left"/>
        <w:rPr>
          <w:b/>
          <w:b/>
          <w:bCs/>
          <w:sz w:val="40"/>
          <w:szCs w:val="40"/>
          <w:u w:val="single"/>
          <w:lang w:val="zxx" w:eastAsia="zxx" w:bidi="zxx"/>
        </w:rPr>
      </w:pPr>
      <w:r>
        <w:rPr>
          <w:b/>
          <w:bCs/>
          <w:sz w:val="40"/>
          <w:szCs w:val="40"/>
          <w:u w:val="singl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Kép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3</w:t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/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  <w:t>Ez a képernyő az Options menüpontba lépés esetén jelenik meg. Itt lehet beállítani a játékbeli irányítógombokat(Controls, lásd a 4.ábra táblázatát a default beállításokért), a hangeffektek, zenék és a főhangerő hangerejét, valamint a videóbeállításokat.</w:t>
      </w:r>
    </w:p>
    <w:p>
      <w:pPr>
        <w:pStyle w:val="Normal"/>
        <w:jc w:val="left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14500"/>
            <wp:effectExtent l="0" t="0" r="0" b="0"/>
            <wp:wrapSquare wrapText="largest"/>
            <wp:docPr id="4" name="Kép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4</w:t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/>
      </w:pPr>
      <w:r>
        <w:rPr>
          <w:b/>
          <w:bCs/>
          <w:sz w:val="40"/>
          <w:szCs w:val="40"/>
          <w:u w:val="single"/>
          <w:lang w:val="zxx" w:eastAsia="zxx" w:bidi="zxx"/>
        </w:rPr>
        <w:t>II.3.Űrhajókonfiguráció</w:t>
      </w:r>
    </w:p>
    <w:p>
      <w:pPr>
        <w:pStyle w:val="Normal"/>
        <w:jc w:val="left"/>
        <w:rPr>
          <w:b/>
          <w:b/>
          <w:bCs/>
          <w:sz w:val="40"/>
          <w:szCs w:val="40"/>
          <w:u w:val="single"/>
          <w:lang w:val="zxx" w:eastAsia="zxx" w:bidi="zxx"/>
        </w:rPr>
      </w:pPr>
      <w:r>
        <w:rPr>
          <w:b/>
          <w:bCs/>
          <w:sz w:val="40"/>
          <w:szCs w:val="40"/>
          <w:u w:val="single"/>
          <w:lang w:val="zxx" w:eastAsia="zxx" w:bidi="zxx"/>
        </w:rPr>
      </w:r>
    </w:p>
    <w:p>
      <w:pPr>
        <w:pStyle w:val="Normal"/>
        <w:jc w:val="center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Kép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ndale Sans UI" w:cs="Tahoma"/>
          <w:b w:val="false"/>
          <w:bCs w:val="false"/>
          <w:color w:val="00000A"/>
          <w:sz w:val="20"/>
          <w:szCs w:val="20"/>
          <w:u w:val="none"/>
          <w:lang w:val="zxx" w:eastAsia="zxx" w:bidi="zxx"/>
        </w:rPr>
        <w:t>5</w:t>
      </w:r>
      <w:r>
        <w:rPr>
          <w:rFonts w:eastAsia="Andale Sans UI" w:cs="Tahoma"/>
          <w:b w:val="false"/>
          <w:bCs w:val="false"/>
          <w:color w:val="00000A"/>
          <w:sz w:val="20"/>
          <w:szCs w:val="20"/>
          <w:u w:val="none"/>
          <w:lang w:val="zxx" w:eastAsia="zxx" w:bidi="zxx"/>
        </w:rPr>
        <w:t>.ábra</w:t>
      </w:r>
    </w:p>
    <w:p>
      <w:pPr>
        <w:pStyle w:val="Normal"/>
        <w:jc w:val="center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 a képernyő jelenik meg, amikor a játékos a Ship specs menüpontot(lásd II.4. pont) választja. A felhasználó ebben a menüben az űrhajó felszereléseit tudja alakítani. Változtathatja az első/hátsó -valamint a jobb/baloldali fegyvereket, a szárny, test és orr-rész felszereléseit, valamint a pajzs típusát. Minden felszerelés különféle energiaszükséglettel rendelkezik, ez biztosítja, hogy a felhasználó különféle stratégiákat találjon ki a felszerelései rendszerezéseire.</w:t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  <w:r>
        <w:br w:type="page"/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II.4.Pályaközi menü</w:t>
      </w:r>
    </w:p>
    <w:p>
      <w:pPr>
        <w:pStyle w:val="Normal"/>
        <w:jc w:val="center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Kép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ndale Sans UI" w:cs="Tahoma"/>
          <w:b w:val="false"/>
          <w:bCs w:val="false"/>
          <w:color w:val="00000A"/>
          <w:sz w:val="20"/>
          <w:szCs w:val="20"/>
          <w:u w:val="none"/>
          <w:lang w:val="zxx" w:eastAsia="zxx" w:bidi="zxx"/>
        </w:rPr>
        <w:t>6</w:t>
      </w:r>
      <w:r>
        <w:rPr>
          <w:rFonts w:eastAsia="Andale Sans UI" w:cs="Tahoma"/>
          <w:b w:val="false"/>
          <w:bCs w:val="false"/>
          <w:color w:val="00000A"/>
          <w:sz w:val="20"/>
          <w:szCs w:val="20"/>
          <w:u w:val="none"/>
          <w:lang w:val="zxx" w:eastAsia="zxx" w:bidi="zxx"/>
        </w:rPr>
        <w:t>.ábra</w:t>
      </w:r>
    </w:p>
    <w:p>
      <w:pPr>
        <w:pStyle w:val="Normal"/>
        <w:jc w:val="center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 a menü jelenik meg pályák között. A felhasználónak lehetősége van elmentenie az állását, betölteni egy másik játékállást, új küldetést kezdhet és az űrhajó felszerelését alakíthatja. A Quit menüpont a főmenübe vezet.</w:t>
      </w:r>
      <w:r>
        <w:br w:type="page"/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III.Adatmodellek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bookmarkStart w:id="0" w:name="__DdeLink__191_734921051"/>
      <w:bookmarkEnd w:id="0"/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III.1.ER modell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219700"/>
            <wp:effectExtent l="0" t="0" r="0" b="0"/>
            <wp:wrapSquare wrapText="largest"/>
            <wp:docPr id="7" name="Kép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III.2.1.Pálya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 az egyed a pályák alapadatait tárolja le: egy egyedi azonosítót, valamint a file nevét, amiből betöltődnek a pályaadatok.</w:t>
      </w:r>
      <w:r>
        <w:br w:type="page"/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III.2.2.Path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 az egyed tartalmazza az ellenséges űrhajók által használt útvonalakat tartalmazó fájlok neveit.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III.2.3.Ellenségek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 az egyed tartalmazza az ellenséges űrhajók adatait: egyedi azonosítót, a használt fegyver nevét, egy időzítőt(mennyi idővel a pálya kezdése után induljon a hajó), valamint egy görbét(milyen görbe mentén haladjon a hajó).</w:t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III.2.4.Modell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 az egyed az űrhajók által használt modellek neveit tárolja.</w:t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III.2.5.Textúra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 az egyed tartalmazza ajáték által használt különféle textúrák neveit.</w:t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III.2.Relációs modell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8330"/>
            <wp:effectExtent l="0" t="0" r="0" b="0"/>
            <wp:wrapSquare wrapText="largest"/>
            <wp:docPr id="8" name="Kép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Times New Roman">
    <w:charset w:val="ee"/>
    <w:family w:val="roman"/>
    <w:pitch w:val="variable"/>
  </w:font>
  <w:font w:name="OpenSymbol">
    <w:altName w:val="Arial Unicode MS"/>
    <w:charset w:val="ee"/>
    <w:family w:val="roman"/>
    <w:pitch w:val="variable"/>
  </w:font>
  <w:font w:name="Arial">
    <w:charset w:val="ee"/>
    <w:family w:val="roman"/>
    <w:pitch w:val="variable"/>
  </w:font>
  <w:font w:name="Calibri">
    <w:charset w:val="ee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32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6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ndale Sans UI" w:cs="Tahoma"/>
        <w:sz w:val="20"/>
        <w:szCs w:val="24"/>
        <w:lang w:val="en-US" w:eastAsia="en-US" w:bidi="en-US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false"/>
      <w:bidi w:val="0"/>
      <w:jc w:val="left"/>
    </w:pPr>
    <w:rPr>
      <w:rFonts w:ascii="Times New Roman" w:hAnsi="Times New Roman" w:eastAsia="Andale Sans UI" w:cs="Tahoma"/>
      <w:color w:val="00000A"/>
      <w:sz w:val="24"/>
      <w:szCs w:val="24"/>
      <w:lang w:val="zxx" w:eastAsia="zxx" w:bidi="zxx"/>
    </w:rPr>
  </w:style>
  <w:style w:type="character" w:styleId="Felsorolsjel">
    <w:name w:val="Felsorolásjel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  <w:b w:val="false"/>
      <w:sz w:val="32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  <w:b w:val="false"/>
      <w:sz w:val="32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ascii="Times New Roman" w:hAnsi="Times New Roman" w:cs="OpenSymbol"/>
      <w:b w:val="false"/>
      <w:sz w:val="32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paragraph" w:styleId="Cmsor">
    <w:name w:val="Címsor"/>
    <w:basedOn w:val="Normal"/>
    <w:next w:val="Szvegtrzs"/>
    <w:qFormat/>
    <w:pPr>
      <w:keepNext/>
      <w:spacing w:before="240" w:after="120"/>
    </w:pPr>
    <w:rPr>
      <w:rFonts w:ascii="Arial" w:hAnsi="Arial" w:eastAsia="Andale Sans UI" w:cs="Tahoma"/>
      <w:sz w:val="28"/>
      <w:szCs w:val="28"/>
    </w:rPr>
  </w:style>
  <w:style w:type="paragraph" w:styleId="Szvegtrzs">
    <w:name w:val="Body Text"/>
    <w:basedOn w:val="Normal"/>
    <w:pPr>
      <w:spacing w:before="0" w:after="120"/>
    </w:pPr>
    <w:rPr/>
  </w:style>
  <w:style w:type="paragraph" w:styleId="Lista">
    <w:name w:val="List"/>
    <w:basedOn w:val="Szvegtrzs"/>
    <w:pPr/>
    <w:rPr>
      <w:rFonts w:cs="Tahoma"/>
    </w:rPr>
  </w:style>
  <w:style w:type="paragraph" w:styleId="Felirat">
    <w:name w:val="Caption"/>
    <w:basedOn w:val="Normal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Tahoma"/>
    </w:rPr>
  </w:style>
  <w:style w:type="paragraph" w:styleId="Tblzattartalom">
    <w:name w:val="Táblázattartalom"/>
    <w:basedOn w:val="Normal"/>
    <w:qFormat/>
    <w:pPr>
      <w:suppressLineNumbers/>
    </w:pPr>
    <w:rPr/>
  </w:style>
  <w:style w:type="paragraph" w:styleId="Tblzatfejlc">
    <w:name w:val="Táblázatfejléc"/>
    <w:basedOn w:val="Tblzattartalom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197</TotalTime>
  <Application>LibreOffice/5.1.3.2$Windows_x86 LibreOffice_project/644e4637d1d8544fd9f56425bd6cec110e49301b</Application>
  <Pages>7</Pages>
  <Words>410</Words>
  <Characters>2698</Characters>
  <CharactersWithSpaces>3039</CharactersWithSpaces>
  <Paragraphs>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2009-04-16T11:32:02Z</dcterms:created>
  <dc:creator/>
  <dc:description/>
  <dc:language>hu-HU</dc:language>
  <cp:lastModifiedBy/>
  <dcterms:modified xsi:type="dcterms:W3CDTF">2016-11-16T20:18:58Z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